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5" w:rsidRPr="00266290" w:rsidRDefault="001E6755" w:rsidP="001E6755">
      <w:pPr>
        <w:jc w:val="both"/>
        <w:rPr>
          <w:i/>
          <w:u w:val="single"/>
          <w:lang w:val="fr-CA"/>
        </w:rPr>
      </w:pPr>
      <w:proofErr w:type="spellStart"/>
      <w:r>
        <w:rPr>
          <w:lang w:val="fr-CA"/>
        </w:rPr>
        <w:t>Gomart</w:t>
      </w:r>
      <w:proofErr w:type="spellEnd"/>
      <w:r>
        <w:rPr>
          <w:lang w:val="fr-CA"/>
        </w:rPr>
        <w:t xml:space="preserve">, T., « Quel statut pour le témoignage oral en histoire contemporaine? » </w:t>
      </w:r>
      <w:r>
        <w:rPr>
          <w:i/>
          <w:lang w:val="fr-CA"/>
        </w:rPr>
        <w:t>Hypothèses</w:t>
      </w:r>
      <w:r w:rsidRPr="00266290">
        <w:rPr>
          <w:lang w:val="fr-CA"/>
        </w:rPr>
        <w:t xml:space="preserve"> 1 (1999) 103-111</w:t>
      </w:r>
      <w:r>
        <w:rPr>
          <w:lang w:val="fr-CA"/>
        </w:rPr>
        <w:t>.</w:t>
      </w:r>
    </w:p>
    <w:p w:rsidR="001E6755" w:rsidRDefault="001E6755" w:rsidP="001E6755">
      <w:pPr>
        <w:jc w:val="both"/>
        <w:rPr>
          <w:lang w:val="fr-CA"/>
        </w:rPr>
      </w:pPr>
    </w:p>
    <w:p w:rsidR="001E6755" w:rsidRDefault="001E6755" w:rsidP="001E6755">
      <w:pPr>
        <w:jc w:val="both"/>
        <w:rPr>
          <w:lang w:val="fr-CA"/>
        </w:rPr>
      </w:pPr>
      <w:r>
        <w:rPr>
          <w:lang w:val="fr-CA"/>
        </w:rPr>
        <w:t xml:space="preserve">Le recours aux témoignages oraux, pour les sujets postérieurs  1939, est devenu une pratique courante. À tel point que le chercheur peut désormais avoir l’impression d’être entré dans </w:t>
      </w:r>
      <w:r>
        <w:rPr>
          <w:i/>
          <w:lang w:val="fr-CA"/>
        </w:rPr>
        <w:t>L’ère u témoin</w:t>
      </w:r>
      <w:r>
        <w:rPr>
          <w:lang w:val="fr-CA"/>
        </w:rPr>
        <w:t xml:space="preserve">. P.103 </w:t>
      </w:r>
    </w:p>
    <w:p w:rsidR="001E6755" w:rsidRDefault="001E6755" w:rsidP="001E6755">
      <w:pPr>
        <w:jc w:val="both"/>
        <w:rPr>
          <w:lang w:val="fr-CA"/>
        </w:rPr>
      </w:pPr>
    </w:p>
    <w:p w:rsidR="001E6755" w:rsidRDefault="001E6755" w:rsidP="001E6755">
      <w:pPr>
        <w:jc w:val="both"/>
        <w:rPr>
          <w:lang w:val="fr-CA"/>
        </w:rPr>
      </w:pPr>
      <w:r>
        <w:rPr>
          <w:lang w:val="fr-CA"/>
        </w:rPr>
        <w:t xml:space="preserve">Réf : A. </w:t>
      </w:r>
      <w:proofErr w:type="spellStart"/>
      <w:r>
        <w:rPr>
          <w:lang w:val="fr-CA"/>
        </w:rPr>
        <w:t>Wieviorka</w:t>
      </w:r>
      <w:proofErr w:type="spellEnd"/>
      <w:r>
        <w:rPr>
          <w:lang w:val="fr-CA"/>
        </w:rPr>
        <w:t xml:space="preserve">, </w:t>
      </w:r>
      <w:r>
        <w:rPr>
          <w:i/>
          <w:lang w:val="fr-CA"/>
        </w:rPr>
        <w:t>L’ère du témoin</w:t>
      </w:r>
      <w:r>
        <w:rPr>
          <w:lang w:val="fr-CA"/>
        </w:rPr>
        <w:t>, Paris, 1998.</w:t>
      </w:r>
    </w:p>
    <w:p w:rsidR="002F5761" w:rsidRDefault="002F5761"/>
    <w:sectPr w:rsidR="002F5761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755"/>
    <w:rsid w:val="001E6755"/>
    <w:rsid w:val="002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DND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2011-01-21T16:21:00Z</dcterms:created>
  <dcterms:modified xsi:type="dcterms:W3CDTF">2011-01-21T16:22:00Z</dcterms:modified>
</cp:coreProperties>
</file>